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附件4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（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产品功能要求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项目名称：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 xml:space="preserve">心理测评软件采购项目          </w:t>
      </w: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项目编号：WJFY-CGK-25-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012</w:t>
      </w:r>
    </w:p>
    <w:tbl>
      <w:tblPr>
        <w:tblStyle w:val="5"/>
        <w:tblpPr w:leftFromText="180" w:rightFromText="180" w:vertAnchor="text" w:horzAnchor="page" w:tblpX="2055" w:tblpY="4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6" w:afterAutospacing="0" w:line="27" w:lineRule="atLeast"/>
              <w:ind w:right="0"/>
              <w:jc w:val="left"/>
              <w:textAlignment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bookmarkStart w:id="1" w:name="_GoBack"/>
            <w:bookmarkStart w:id="0" w:name="OLE_LINK1"/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系统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至少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包括临床测验，焦虑和抑郁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测验，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心理健康测验，婚姻家庭功能测验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，儿童和青少年学习相关测验，具有多个量表。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 w:rightChars="0"/>
              <w:jc w:val="left"/>
              <w:textAlignment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2.具备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语音读题，可重复播放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textAlignment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3.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可以自定义设置测试套餐，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每个套餐可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自行设置包含多个量表，点击相应套餐直接进行套餐测试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6" w:afterAutospacing="0" w:line="27" w:lineRule="atLeast"/>
              <w:ind w:right="0"/>
              <w:jc w:val="left"/>
              <w:textAlignment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4.系统可对关键测试项目结论按程度标记。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textAlignment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5.系统具备对测试者量表中多个因素进行分析。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6" w:afterAutospacing="0" w:line="27" w:lineRule="atLeast"/>
              <w:ind w:right="0"/>
              <w:jc w:val="left"/>
              <w:textAlignment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6.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测试结果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可融合多个内容最终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统一成总体报告。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textAlignment w:val="center"/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7.支持导出为多版本/格式及量表打印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。</w:t>
            </w:r>
          </w:p>
        </w:tc>
      </w:tr>
      <w:bookmarkEnd w:id="1"/>
      <w:bookmarkEnd w:id="0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default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478B"/>
    <w:rsid w:val="0B2375EE"/>
    <w:rsid w:val="0FCE7024"/>
    <w:rsid w:val="1811265A"/>
    <w:rsid w:val="23EF27DB"/>
    <w:rsid w:val="25BB5A28"/>
    <w:rsid w:val="2AC00278"/>
    <w:rsid w:val="2C0327FE"/>
    <w:rsid w:val="2D8B27DE"/>
    <w:rsid w:val="2E514C0F"/>
    <w:rsid w:val="2FF4754C"/>
    <w:rsid w:val="33370BF2"/>
    <w:rsid w:val="3F7A4327"/>
    <w:rsid w:val="40FC6160"/>
    <w:rsid w:val="420955E1"/>
    <w:rsid w:val="465522C1"/>
    <w:rsid w:val="4822162B"/>
    <w:rsid w:val="4C2101CF"/>
    <w:rsid w:val="4C752C66"/>
    <w:rsid w:val="4D4663F9"/>
    <w:rsid w:val="55635286"/>
    <w:rsid w:val="55B1441D"/>
    <w:rsid w:val="57605342"/>
    <w:rsid w:val="59C35DA9"/>
    <w:rsid w:val="60CF352A"/>
    <w:rsid w:val="640616EB"/>
    <w:rsid w:val="65A46BB2"/>
    <w:rsid w:val="66764A7B"/>
    <w:rsid w:val="68415448"/>
    <w:rsid w:val="6AA83F42"/>
    <w:rsid w:val="6B9F0D42"/>
    <w:rsid w:val="6BCF4EEF"/>
    <w:rsid w:val="70C063DF"/>
    <w:rsid w:val="72822D01"/>
    <w:rsid w:val="792D70EC"/>
    <w:rsid w:val="7D8D6339"/>
    <w:rsid w:val="7E7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2025-01-22T15:11:00Z</dcterms:created>
  <dc:creator>Administrator</dc:creator>
  <cp:lastModifiedBy>Administrator</cp:lastModifiedBy>
  <dcterms:modified xsi:type="dcterms:W3CDTF">2025-04-29T07:56:27Z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