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附件3：服务内容（实质性要求）</w:t>
      </w:r>
    </w:p>
    <w:p>
      <w:pPr>
        <w:pStyle w:val="2"/>
        <w:rPr>
          <w:rFonts w:hint="eastAsia"/>
          <w:lang w:val="en-US" w:eastAsia="zh-CN"/>
        </w:rPr>
      </w:pPr>
    </w:p>
    <w:tbl>
      <w:tblPr>
        <w:tblStyle w:val="7"/>
        <w:tblpPr w:leftFromText="180" w:rightFromText="180" w:vertAnchor="text" w:horzAnchor="page" w:tblpX="2226" w:tblpY="72"/>
        <w:tblOverlap w:val="never"/>
        <w:tblW w:w="8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7"/>
        <w:gridCol w:w="6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727" w:type="dxa"/>
            <w:vMerge w:val="restart"/>
          </w:tcPr>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项目名称：</w:t>
            </w:r>
          </w:p>
          <w:p>
            <w:pPr>
              <w:keepNext w:val="0"/>
              <w:keepLines w:val="0"/>
              <w:widowControl/>
              <w:numPr>
                <w:ilvl w:val="0"/>
                <w:numId w:val="0"/>
              </w:numPr>
              <w:suppressLineNumbers w:val="0"/>
              <w:jc w:val="left"/>
              <w:textAlignment w:val="center"/>
              <w:rPr>
                <w:rFonts w:hint="eastAsia"/>
                <w:lang w:val="en-US" w:eastAsia="zh-CN"/>
              </w:rPr>
            </w:pPr>
            <w:bookmarkStart w:id="0" w:name="OLE_LINK4"/>
            <w:r>
              <w:rPr>
                <w:rFonts w:hint="eastAsia"/>
                <w:lang w:val="en-US" w:eastAsia="zh-CN"/>
              </w:rPr>
              <w:t>202</w:t>
            </w:r>
            <w:r>
              <w:rPr>
                <w:rFonts w:hint="eastAsia"/>
                <w:lang w:val="en-US" w:eastAsia="zh-CN"/>
              </w:rPr>
              <w:t>5年度财务电子票据系统软件维护服务</w:t>
            </w:r>
          </w:p>
          <w:bookmarkEnd w:id="0"/>
          <w:p>
            <w:pPr>
              <w:keepNext w:val="0"/>
              <w:keepLines w:val="0"/>
              <w:widowControl/>
              <w:numPr>
                <w:ilvl w:val="0"/>
                <w:numId w:val="0"/>
              </w:numPr>
              <w:suppressLineNumbers w:val="0"/>
              <w:jc w:val="left"/>
              <w:textAlignment w:val="center"/>
              <w:rPr>
                <w:rFonts w:hint="eastAsia"/>
                <w:lang w:val="en-US" w:eastAsia="zh-CN"/>
              </w:rPr>
            </w:pPr>
          </w:p>
          <w:p>
            <w:pPr>
              <w:keepNext w:val="0"/>
              <w:keepLines w:val="0"/>
              <w:widowControl/>
              <w:numPr>
                <w:ilvl w:val="0"/>
                <w:numId w:val="0"/>
              </w:numPr>
              <w:suppressLineNumbers w:val="0"/>
              <w:jc w:val="left"/>
              <w:textAlignment w:val="center"/>
              <w:rPr>
                <w:rFonts w:hint="default"/>
                <w:lang w:val="en-US" w:eastAsia="zh-CN"/>
              </w:rPr>
            </w:pPr>
            <w:r>
              <w:rPr>
                <w:rFonts w:hint="eastAsia"/>
                <w:lang w:val="en-US" w:eastAsia="zh-CN"/>
              </w:rPr>
              <w:t>项目编号：（WJFY-CGK-25-006）</w:t>
            </w:r>
          </w:p>
          <w:p>
            <w:pPr>
              <w:keepNext w:val="0"/>
              <w:keepLines w:val="0"/>
              <w:widowControl/>
              <w:numPr>
                <w:ilvl w:val="0"/>
                <w:numId w:val="0"/>
              </w:numPr>
              <w:suppressLineNumbers w:val="0"/>
              <w:jc w:val="left"/>
              <w:textAlignment w:val="center"/>
              <w:rPr>
                <w:rFonts w:hint="default"/>
                <w:lang w:val="en-US" w:eastAsia="zh-CN"/>
              </w:rPr>
            </w:pPr>
          </w:p>
        </w:tc>
        <w:tc>
          <w:tcPr>
            <w:tcW w:w="6284" w:type="dxa"/>
          </w:tcPr>
          <w:p>
            <w:pPr>
              <w:keepNext w:val="0"/>
              <w:keepLines w:val="0"/>
              <w:widowControl/>
              <w:numPr>
                <w:ilvl w:val="0"/>
                <w:numId w:val="0"/>
              </w:numPr>
              <w:suppressLineNumbers w:val="0"/>
              <w:jc w:val="center"/>
              <w:textAlignment w:val="center"/>
              <w:rPr>
                <w:rFonts w:hint="default"/>
                <w:lang w:val="en-US" w:eastAsia="zh-CN"/>
              </w:rPr>
            </w:pPr>
            <w:r>
              <w:rPr>
                <w:rFonts w:hint="eastAsia"/>
                <w:lang w:val="en-US"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7" w:hRule="atLeast"/>
        </w:trPr>
        <w:tc>
          <w:tcPr>
            <w:tcW w:w="1727" w:type="dxa"/>
            <w:vMerge w:val="continue"/>
          </w:tcPr>
          <w:p>
            <w:pPr>
              <w:keepNext w:val="0"/>
              <w:keepLines w:val="0"/>
              <w:widowControl/>
              <w:numPr>
                <w:ilvl w:val="0"/>
                <w:numId w:val="0"/>
              </w:numPr>
              <w:suppressLineNumbers w:val="0"/>
              <w:jc w:val="left"/>
              <w:textAlignment w:val="center"/>
              <w:rPr>
                <w:rFonts w:hint="default"/>
                <w:lang w:val="en-US" w:eastAsia="zh-CN"/>
              </w:rPr>
            </w:pPr>
          </w:p>
        </w:tc>
        <w:tc>
          <w:tcPr>
            <w:tcW w:w="6284" w:type="dxa"/>
            <w:tcBorders/>
          </w:tcPr>
          <w:p>
            <w:pPr>
              <w:keepNext w:val="0"/>
              <w:keepLines w:val="0"/>
              <w:widowControl/>
              <w:numPr>
                <w:ilvl w:val="0"/>
                <w:numId w:val="0"/>
              </w:numPr>
              <w:suppressLineNumbers w:val="0"/>
              <w:jc w:val="left"/>
              <w:textAlignment w:val="center"/>
              <w:rPr>
                <w:rFonts w:hint="default"/>
                <w:lang w:val="en-US" w:eastAsia="zh-CN"/>
              </w:rPr>
            </w:pPr>
            <w:bookmarkStart w:id="1" w:name="OLE_LINK3"/>
            <w:r>
              <w:rPr>
                <w:rFonts w:hint="eastAsia"/>
                <w:lang w:val="en-US" w:eastAsia="zh-CN"/>
              </w:rPr>
              <w:t>一、整体需求：</w:t>
            </w:r>
          </w:p>
          <w:p>
            <w:pPr>
              <w:keepNext w:val="0"/>
              <w:keepLines w:val="0"/>
              <w:widowControl/>
              <w:numPr>
                <w:ilvl w:val="0"/>
                <w:numId w:val="0"/>
              </w:numPr>
              <w:suppressLineNumbers w:val="0"/>
              <w:jc w:val="left"/>
              <w:textAlignment w:val="center"/>
              <w:rPr>
                <w:rFonts w:hint="eastAsia"/>
                <w:lang w:eastAsia="zh-CN"/>
              </w:rPr>
            </w:pPr>
            <w:r>
              <w:rPr>
                <w:rFonts w:hint="eastAsia"/>
                <w:lang w:val="en-US" w:eastAsia="zh-CN"/>
              </w:rPr>
              <w:t>（1）</w:t>
            </w:r>
            <w:bookmarkStart w:id="2" w:name="OLE_LINK2"/>
            <w:r>
              <w:rPr>
                <w:rFonts w:hint="eastAsia"/>
              </w:rPr>
              <w:t>满足财政电子票据改革的需要,严格遵循财政部的财政电子票据管理改革的标准规范和业务要求，接入医疗电子票据，完成电子票据的开具、送达、查验、入账、归档，满足财政统一规范财政电子票据管理的需求</w:t>
            </w:r>
            <w:r>
              <w:rPr>
                <w:rFonts w:hint="eastAsia"/>
                <w:lang w:eastAsia="zh-CN"/>
              </w:rPr>
              <w:t>。</w:t>
            </w:r>
          </w:p>
          <w:bookmarkEnd w:id="2"/>
          <w:p>
            <w:pPr>
              <w:keepNext w:val="0"/>
              <w:keepLines w:val="0"/>
              <w:widowControl/>
              <w:numPr>
                <w:ilvl w:val="0"/>
                <w:numId w:val="0"/>
              </w:numPr>
              <w:suppressLineNumbers w:val="0"/>
              <w:jc w:val="left"/>
              <w:textAlignment w:val="center"/>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rPr>
              <w:t>实现各项医疗收费结算即时生成电子票据，解决缴费过程繁杂、票据管理与核销等问题，有效缩短了民众窗口的等待时间，提高了服务效率</w:t>
            </w:r>
            <w:r>
              <w:rPr>
                <w:rFonts w:hint="eastAsia"/>
                <w:lang w:eastAsia="zh-CN"/>
              </w:rPr>
              <w:t>。</w:t>
            </w:r>
          </w:p>
          <w:p>
            <w:pPr>
              <w:pStyle w:val="2"/>
              <w:rPr>
                <w:rFonts w:hint="eastAsia"/>
                <w:lang w:val="en-US" w:eastAsia="zh-CN"/>
              </w:rPr>
            </w:pPr>
          </w:p>
          <w:bookmarkEnd w:id="1"/>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二、流程需求：</w:t>
            </w:r>
          </w:p>
          <w:p>
            <w:pPr>
              <w:keepNext w:val="0"/>
              <w:keepLines w:val="0"/>
              <w:widowControl/>
              <w:numPr>
                <w:ilvl w:val="0"/>
                <w:numId w:val="0"/>
              </w:numPr>
              <w:suppressLineNumbers w:val="0"/>
              <w:jc w:val="left"/>
              <w:textAlignment w:val="center"/>
              <w:rPr>
                <w:rFonts w:hint="eastAsia"/>
              </w:rPr>
            </w:pPr>
            <w:r>
              <w:rPr>
                <w:rFonts w:hint="eastAsia"/>
                <w:lang w:eastAsia="zh-CN"/>
              </w:rPr>
              <w:t>（</w:t>
            </w:r>
            <w:r>
              <w:rPr>
                <w:rFonts w:hint="eastAsia"/>
                <w:lang w:val="en-US" w:eastAsia="zh-CN"/>
              </w:rPr>
              <w:t>1</w:t>
            </w:r>
            <w:r>
              <w:rPr>
                <w:rFonts w:hint="eastAsia"/>
                <w:lang w:eastAsia="zh-CN"/>
              </w:rPr>
              <w:t>）</w:t>
            </w:r>
            <w:r>
              <w:rPr>
                <w:rFonts w:hint="eastAsia"/>
              </w:rPr>
              <w:t>患者可通过各种缴费渠道，如POS机、微信、支付宝、现金等支付方式，办理处方缴费业务。结算成功把收费结算数据信息推送给医疗电子票据管理平台，开具电子票据。</w:t>
            </w:r>
          </w:p>
          <w:p>
            <w:pPr>
              <w:keepNext w:val="0"/>
              <w:keepLines w:val="0"/>
              <w:widowControl/>
              <w:numPr>
                <w:ilvl w:val="0"/>
                <w:numId w:val="0"/>
              </w:numPr>
              <w:suppressLineNumbers w:val="0"/>
              <w:jc w:val="left"/>
              <w:textAlignment w:val="center"/>
              <w:rPr>
                <w:rFonts w:hint="eastAsia"/>
              </w:rPr>
            </w:pPr>
            <w:r>
              <w:rPr>
                <w:rFonts w:hint="eastAsia"/>
                <w:lang w:eastAsia="zh-CN"/>
              </w:rPr>
              <w:t>（</w:t>
            </w:r>
            <w:r>
              <w:rPr>
                <w:rFonts w:hint="eastAsia"/>
                <w:lang w:val="en-US" w:eastAsia="zh-CN"/>
              </w:rPr>
              <w:t>2</w:t>
            </w:r>
            <w:r>
              <w:rPr>
                <w:rFonts w:hint="eastAsia"/>
                <w:lang w:eastAsia="zh-CN"/>
              </w:rPr>
              <w:t>）</w:t>
            </w:r>
            <w:r>
              <w:rPr>
                <w:rFonts w:hint="eastAsia"/>
              </w:rPr>
              <w:t>医疗电子票据管理平台把已开具的电子票据信息可通过电子票据传输服务以各种院内通知渠道送达到交款人，如：微信公众号、自助机或者收费窗口打印等方式。</w:t>
            </w:r>
          </w:p>
          <w:p>
            <w:pPr>
              <w:keepNext w:val="0"/>
              <w:keepLines w:val="0"/>
              <w:widowControl/>
              <w:numPr>
                <w:ilvl w:val="0"/>
                <w:numId w:val="0"/>
              </w:numPr>
              <w:suppressLineNumbers w:val="0"/>
              <w:jc w:val="left"/>
              <w:textAlignment w:val="center"/>
              <w:rPr>
                <w:rFonts w:hint="eastAsia"/>
              </w:rPr>
            </w:pPr>
            <w:r>
              <w:rPr>
                <w:rFonts w:hint="eastAsia"/>
                <w:lang w:eastAsia="zh-CN"/>
              </w:rPr>
              <w:t>（</w:t>
            </w:r>
            <w:r>
              <w:rPr>
                <w:rFonts w:hint="eastAsia"/>
                <w:lang w:val="en-US" w:eastAsia="zh-CN"/>
              </w:rPr>
              <w:t>3</w:t>
            </w:r>
            <w:r>
              <w:rPr>
                <w:rFonts w:hint="eastAsia"/>
                <w:lang w:eastAsia="zh-CN"/>
              </w:rPr>
              <w:t>）</w:t>
            </w:r>
            <w:r>
              <w:rPr>
                <w:rFonts w:hint="eastAsia"/>
              </w:rPr>
              <w:t>患者也可以根据需要换取纸质票据，可通过医院指定的窗口或自助打印机，换取纸质票据。</w:t>
            </w:r>
          </w:p>
          <w:p>
            <w:pPr>
              <w:keepNext w:val="0"/>
              <w:keepLines w:val="0"/>
              <w:widowControl/>
              <w:numPr>
                <w:ilvl w:val="0"/>
                <w:numId w:val="0"/>
              </w:numPr>
              <w:suppressLineNumbers w:val="0"/>
              <w:jc w:val="left"/>
              <w:textAlignment w:val="center"/>
              <w:rPr>
                <w:rFonts w:hint="eastAsia"/>
              </w:rPr>
            </w:pPr>
            <w:r>
              <w:rPr>
                <w:rFonts w:hint="eastAsia"/>
                <w:lang w:eastAsia="zh-CN"/>
              </w:rPr>
              <w:t>（</w:t>
            </w:r>
            <w:r>
              <w:rPr>
                <w:rFonts w:hint="eastAsia"/>
                <w:lang w:val="en-US" w:eastAsia="zh-CN"/>
              </w:rPr>
              <w:t>4</w:t>
            </w:r>
            <w:r>
              <w:rPr>
                <w:rFonts w:hint="eastAsia"/>
                <w:lang w:eastAsia="zh-CN"/>
              </w:rPr>
              <w:t>）</w:t>
            </w:r>
            <w:r>
              <w:rPr>
                <w:rFonts w:hint="eastAsia"/>
              </w:rPr>
              <w:t>患者持已有的电子票据信息，可通过财政电子票据查验网站对电子票据进行查验。</w:t>
            </w:r>
          </w:p>
          <w:p>
            <w:pPr>
              <w:pStyle w:val="2"/>
              <w:rPr>
                <w:rFonts w:hint="default"/>
                <w:lang w:val="en-US" w:eastAsia="zh-CN"/>
              </w:rPr>
            </w:pP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三、服务需求：</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（1）电话服务：设专线电话提供全天候的电话技术支持服务。</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（2）现场服务：提供现场服务，当系统出现故障时，须在6 小时内到达现场进行技术支持，并在24小时内排除故障，保证系统的正常运行。</w:t>
            </w:r>
          </w:p>
          <w:p>
            <w:pPr>
              <w:keepNext w:val="0"/>
              <w:keepLines w:val="0"/>
              <w:widowControl/>
              <w:numPr>
                <w:ilvl w:val="0"/>
                <w:numId w:val="0"/>
              </w:numPr>
              <w:suppressLineNumbers w:val="0"/>
              <w:jc w:val="left"/>
              <w:textAlignment w:val="center"/>
              <w:rPr>
                <w:rFonts w:hint="eastAsia"/>
                <w:lang w:val="en-US" w:eastAsia="zh-CN"/>
              </w:rPr>
            </w:pPr>
            <w:r>
              <w:rPr>
                <w:rFonts w:hint="eastAsia"/>
                <w:lang w:val="en-US" w:eastAsia="zh-CN"/>
              </w:rPr>
              <w:t>（3）远程服务：提供远程监测和远程维护的服务体系，如出现紧 急情况，技术员通过远程登陆系统端，及时进行远程服务。</w:t>
            </w:r>
          </w:p>
          <w:p>
            <w:pPr>
              <w:pStyle w:val="2"/>
              <w:rPr>
                <w:rFonts w:hint="default"/>
                <w:lang w:val="en-US" w:eastAsia="zh-CN"/>
              </w:rPr>
            </w:pPr>
          </w:p>
        </w:tc>
      </w:tr>
    </w:tbl>
    <w:p>
      <w:pPr>
        <w:rPr>
          <w:rFonts w:hint="eastAsia"/>
          <w:lang w:val="en-US" w:eastAsia="zh-CN"/>
        </w:rPr>
      </w:pPr>
    </w:p>
    <w:p>
      <w:pPr>
        <w:pStyle w:val="2"/>
        <w:rPr>
          <w:rFonts w:hint="eastAsia"/>
          <w:lang w:val="en-US" w:eastAsia="zh-CN"/>
        </w:rPr>
      </w:pPr>
    </w:p>
    <w:p>
      <w:pPr>
        <w:adjustRightInd w:val="0"/>
        <w:snapToGrid w:val="0"/>
        <w:spacing w:line="360" w:lineRule="auto"/>
        <w:jc w:val="left"/>
        <w:rPr>
          <w:rFonts w:hint="default" w:ascii="仿宋_GB2312" w:hAnsi="Cambria" w:eastAsia="仿宋_GB2312" w:cstheme="minorBidi"/>
          <w:b w:val="0"/>
          <w:bCs w:val="0"/>
          <w:kern w:val="2"/>
          <w:sz w:val="24"/>
          <w:szCs w:val="24"/>
          <w:lang w:val="en-US" w:eastAsia="zh-CN" w:bidi="ar-SA"/>
        </w:rPr>
      </w:pPr>
      <w:r>
        <w:rPr>
          <w:rFonts w:hint="eastAsia" w:asciiTheme="minorEastAsia" w:hAnsiTheme="minorEastAsia" w:eastAsiaTheme="minorEastAsia" w:cstheme="minorEastAsia"/>
          <w:b/>
          <w:bCs/>
          <w:kern w:val="2"/>
          <w:sz w:val="21"/>
          <w:szCs w:val="21"/>
          <w:lang w:val="en-US" w:eastAsia="zh-CN" w:bidi="ar-SA"/>
        </w:rPr>
        <w:t>注：以上内容需</w:t>
      </w:r>
      <w:r>
        <w:rPr>
          <w:rFonts w:hint="eastAsia" w:asciiTheme="minorEastAsia" w:hAnsiTheme="minorEastAsia" w:cstheme="minorEastAsia"/>
          <w:b/>
          <w:bCs/>
          <w:kern w:val="2"/>
          <w:sz w:val="21"/>
          <w:szCs w:val="21"/>
          <w:lang w:val="en-US" w:eastAsia="zh-CN" w:bidi="ar-SA"/>
        </w:rPr>
        <w:t>完全</w:t>
      </w:r>
      <w:r>
        <w:rPr>
          <w:rFonts w:hint="eastAsia" w:asciiTheme="minorEastAsia" w:hAnsiTheme="minorEastAsia" w:eastAsiaTheme="minorEastAsia" w:cstheme="minorEastAsia"/>
          <w:b/>
          <w:bCs/>
          <w:kern w:val="2"/>
          <w:sz w:val="21"/>
          <w:szCs w:val="21"/>
          <w:lang w:val="en-US" w:eastAsia="zh-CN" w:bidi="ar-SA"/>
        </w:rPr>
        <w:t>响应（格式自拟）。</w:t>
      </w:r>
      <w:bookmarkStart w:id="3" w:name="_GoBack"/>
      <w:bookmarkEnd w:id="3"/>
    </w:p>
    <w:p>
      <w:pPr>
        <w:rPr>
          <w:rFonts w:hint="eastAsia"/>
          <w:lang w:val="en-US" w:eastAsia="zh-CN"/>
        </w:rPr>
      </w:pPr>
    </w:p>
    <w:p>
      <w:pPr>
        <w:rPr>
          <w:rFonts w:hint="eastAsia"/>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1036F7"/>
    <w:rsid w:val="0E2001CC"/>
    <w:rsid w:val="1B657C6C"/>
    <w:rsid w:val="1FEA065F"/>
    <w:rsid w:val="227B2C84"/>
    <w:rsid w:val="228C5DAC"/>
    <w:rsid w:val="29C11220"/>
    <w:rsid w:val="2C252EDA"/>
    <w:rsid w:val="33766C57"/>
    <w:rsid w:val="38E9442B"/>
    <w:rsid w:val="3A003A0B"/>
    <w:rsid w:val="3AE74198"/>
    <w:rsid w:val="3D521666"/>
    <w:rsid w:val="3E8341B9"/>
    <w:rsid w:val="3F253868"/>
    <w:rsid w:val="42E6517E"/>
    <w:rsid w:val="4DC466CD"/>
    <w:rsid w:val="4E741D58"/>
    <w:rsid w:val="52AB2EA8"/>
    <w:rsid w:val="57C17A94"/>
    <w:rsid w:val="597360CA"/>
    <w:rsid w:val="5A795136"/>
    <w:rsid w:val="5B08309E"/>
    <w:rsid w:val="5F161B0F"/>
    <w:rsid w:val="64D123AD"/>
    <w:rsid w:val="6F1F74AB"/>
    <w:rsid w:val="702E02C9"/>
    <w:rsid w:val="73933F26"/>
    <w:rsid w:val="743443E1"/>
    <w:rsid w:val="7F14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spacing w:after="120"/>
    </w:pPr>
  </w:style>
  <w:style w:type="paragraph" w:styleId="4">
    <w:name w:val="Plain Text"/>
    <w:basedOn w:val="1"/>
    <w:qFormat/>
    <w:uiPriority w:val="99"/>
    <w:rPr>
      <w:rFonts w:ascii="宋体" w:hAnsi="宋体" w:cs="Courier New"/>
      <w:kern w:val="1"/>
      <w:szCs w:val="21"/>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2025-03-05T00:26:00Z</dcterms:created>
  <dc:creator>Administrator</dc:creator>
  <cp:lastModifiedBy>Administrator</cp:lastModifiedBy>
  <dcterms:modified xsi:type="dcterms:W3CDTF">2025-04-01T00:34:05Z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