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lang w:val="en-US" w:eastAsia="zh-CN"/>
              </w:rPr>
              <w:t>2024年消除母婴传播及两癌综合防控相关宣传物料（第二次）采购项目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DD4EA5"/>
    <w:rsid w:val="12490B9B"/>
    <w:rsid w:val="145B541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2D149F2"/>
    <w:rsid w:val="33A04A0F"/>
    <w:rsid w:val="33B81998"/>
    <w:rsid w:val="3415368D"/>
    <w:rsid w:val="352C2E20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B2646B"/>
    <w:rsid w:val="3AFF66D9"/>
    <w:rsid w:val="3E8F7AA2"/>
    <w:rsid w:val="3F860B53"/>
    <w:rsid w:val="40461FD1"/>
    <w:rsid w:val="41CB0000"/>
    <w:rsid w:val="437214B1"/>
    <w:rsid w:val="44187D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</w:pPr>
  </w:style>
  <w:style w:type="paragraph" w:styleId="4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唐福静（温江妇幼）</cp:lastModifiedBy>
  <cp:lastPrinted>2023-09-21T15:35:00Z</cp:lastPrinted>
  <dcterms:modified xsi:type="dcterms:W3CDTF">2024-08-04T15:30:52Z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B963D6B022F04A9FACCD882F127E6EC4</vt:lpwstr>
  </property>
</Properties>
</file>