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hAnsi="宋体"/>
          <w:b/>
          <w:bCs w:val="0"/>
          <w:color w:val="121212"/>
          <w:sz w:val="24"/>
          <w:lang w:val="en-US" w:eastAsia="zh-CN"/>
        </w:rPr>
      </w:pPr>
      <w:r>
        <w:rPr>
          <w:rFonts w:hint="eastAsia" w:hAnsi="宋体"/>
          <w:b/>
          <w:bCs w:val="0"/>
          <w:color w:val="121212"/>
          <w:sz w:val="24"/>
          <w:lang w:val="en-US" w:eastAsia="zh-CN"/>
        </w:rPr>
        <w:t>附件3（宣传活动服务方案）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放心托育 方便可及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温江区托育服务宣传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活动方案</w:t>
      </w:r>
    </w:p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  <w14:ligatures w14:val="none"/>
        </w:rPr>
        <w:t>一、活动背景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为深入学习贯彻习近平新时代中国特色社会主义思想，全面落实党中央、国务院和省委、省政府关于发展托育服务的决策部署，按照《国家卫生健康委办公厅关于开展 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  <w14:ligatures w14:val="none"/>
        </w:rPr>
        <w:t xml:space="preserve">2024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年全国托育服 务宣传月活动的通知》（国卫办人口函〔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  <w14:ligatures w14:val="none"/>
        </w:rPr>
        <w:t>2024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〕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  <w14:ligatures w14:val="none"/>
        </w:rPr>
        <w:t xml:space="preserve">178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号）要求，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  <w14:ligatures w14:val="none"/>
        </w:rPr>
        <w:t>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定于 2024 年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  <w14:ligatures w14:val="none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月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  <w14:ligatures w14:val="none"/>
        </w:rPr>
        <w:t>中旬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以“放心托育 方便可及”为主题，在全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  <w14:ligatures w14:val="none"/>
        </w:rPr>
        <w:t>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范围内组织开展托育服务宣传月活动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  <w14:ligatures w14:val="none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  <w14:ligatures w14:val="none"/>
        </w:rPr>
        <w:t>本场活动地点定于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  <w:t>公平街道太极社区光华之心广场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  <w14:ligatures w14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  <w14:ligatures w14:val="none"/>
        </w:rPr>
        <w:t>二、主办单位：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温江区卫生健康局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  <w14:ligatures w14:val="none"/>
        </w:rPr>
        <w:t>承办单位：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温江区妇幼保健院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温江区婴幼儿照护指导中心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温江区婴幼儿托育服务行业协会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协办单位：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温江区教育局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温江区妇女联合会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温江区工会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温江区各镇街及社区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  <w14:ligatures w14:val="none"/>
        </w:rPr>
        <w:t>三、活动目标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深刻理解宣传主题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  <w14:ligatures w14:val="none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大力宣传《中共中央 国务院关 于优化生育政策促进人口长期均衡发展的决定》《中共四川省委四川省人民政府印发〈关于优化生育政策促进人口长期均衡发展 的实施方案〉的通知》《四川省人民代表大会常务委员会关于加 快推进普惠托育服务体系建设的决定》等文件精神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  <w14:ligatures w14:val="none"/>
        </w:rPr>
        <w:t>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深入宣传《人口与计划生育法》 《四川省人口与计划生育条例》等法律法规，认真落实托育相关 标准规范，逐步推进托育机构专业化、规范化建设。深入宣传托 育机构登记和备案办法，引导托育机构主动备案，提高机构备案 率。 以及大力发展普惠托育服务的重大意义、重点任务和工作要求，积极动员社会各方面支持托育服务发展。 宣传月旨在扩大托育服务知晓度，倡导各地因地制宜发展社 区托育、用人单位办托和家庭托育点，推动形成 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  <w14:ligatures w14:val="none"/>
        </w:rPr>
        <w:t xml:space="preserve">5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分钟、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  <w14:ligatures w14:val="none"/>
        </w:rPr>
        <w:t xml:space="preserve">10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分 钟托育服务圈，逐步满足群众的托育服务需求，用真实有效的托 育更好地实现“幼有所育”。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  <w14:ligatures w14:val="none"/>
        </w:rPr>
        <w:t>四、活动形式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1、本次为户外大型宣传活动，组织各备案机构及育龄家庭参与，并在现场开展各种互动活动，增强宣传效果；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2、拟定完成10个“婴幼儿家庭照护指导站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（江浦路、清泉、凤凰、花土、大学城、游家渡社区、天乡路、太极社区、东街社区）建设，立足社区开展</w:t>
      </w:r>
      <w:r>
        <w:rPr>
          <w:rFonts w:hint="eastAsia" w:ascii="仿宋" w:hAnsi="仿宋" w:eastAsia="仿宋"/>
          <w:sz w:val="32"/>
          <w:szCs w:val="32"/>
        </w:rPr>
        <w:t>入户指导、亲子活动、家长课堂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互联网直播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或新媒体宣传，展播备案托育机构。</w:t>
      </w:r>
      <w:r>
        <w:rPr>
          <w:rFonts w:hint="eastAsia" w:ascii="仿宋" w:hAnsi="仿宋" w:eastAsia="仿宋"/>
          <w:sz w:val="32"/>
          <w:szCs w:val="32"/>
        </w:rPr>
        <w:t>通过电视、广播、报纸等媒体的报道和宣传，提高公众对托育服务的关注度和了解度。可以邀请一些家长和托育机构的代表进行采访，分享他们的经验和感受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发放托育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/>
          <w:sz w:val="32"/>
          <w:szCs w:val="32"/>
        </w:rPr>
        <w:t>体验券等多种形式，面向广大婴幼 儿家庭宣传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5、依托温江区婴幼儿照护服务指导中心开展</w:t>
      </w:r>
      <w:r>
        <w:rPr>
          <w:rFonts w:hint="eastAsia" w:ascii="仿宋" w:hAnsi="仿宋" w:eastAsia="仿宋"/>
          <w:sz w:val="32"/>
          <w:szCs w:val="32"/>
        </w:rPr>
        <w:t>科学的托育服务理念和育儿知识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宣导</w:t>
      </w:r>
      <w:r>
        <w:rPr>
          <w:rFonts w:hint="eastAsia" w:ascii="仿宋" w:hAnsi="仿宋" w:eastAsia="仿宋"/>
          <w:sz w:val="32"/>
          <w:szCs w:val="32"/>
        </w:rPr>
        <w:t>，引导家庭社会知托育、尝试托育、接受托育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6、宣布定期组织</w:t>
      </w:r>
      <w:r>
        <w:rPr>
          <w:rFonts w:hint="eastAsia" w:ascii="仿宋" w:hAnsi="仿宋" w:eastAsia="仿宋"/>
          <w:sz w:val="32"/>
          <w:szCs w:val="32"/>
        </w:rPr>
        <w:t>托育机构开放日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/>
          <w:sz w:val="32"/>
          <w:szCs w:val="32"/>
        </w:rPr>
        <w:t>，邀请家长参观托育机构，了解托育机构的环境、设施和师资情况。同时，可以组织一些示范课程，让家长亲身体验托育服务的内容和质量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7、鼓励并指导托育机构跟社区手拉手，为育龄家庭定期开展各种公益活动；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8、关爱特殊婴幼儿，开展相关筛查和专业照护指导服务，搭建特殊婴幼儿康复训练和特殊教育绿色通道。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  <w14:ligatures w14:val="none"/>
        </w:rPr>
        <w:t>五、活动推广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1.社区宣传：在社区广场、小区门口等地方张贴宣传海报和横幅，以吸引家长的注意。同时，派发宣传资料，让家长能够及时了解活动的内容和时间。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.合作伙伴宣传：与相关行业的合作伙伴进行合作，共同宣传活动。可以与儿童教育机构、亲子活动中心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婴幼儿用品店</w:t>
      </w:r>
      <w:r>
        <w:rPr>
          <w:rFonts w:hint="eastAsia" w:ascii="仿宋" w:hAnsi="仿宋" w:eastAsia="仿宋"/>
          <w:sz w:val="32"/>
          <w:szCs w:val="32"/>
        </w:rPr>
        <w:t>等合作，互相宣传推广，提高活动的影响力和知名度。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3、区卫健、区妇联、区妇保院、区托育行业协会、各镇街及社区、托育服务机构的公众号及家长群共同发布并宣传。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  <w14:ligatures w14:val="none"/>
        </w:rPr>
        <w:t>六、活动评估与总结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1.活动期间，可以设置签到处，统计参与活动的家长人数，并收集家长的反馈意见和建议，用于后续活动的改进和提升。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2.活动结束后，组织相关人员对活动进行总结和评估。评估活动的效果和影响力，检查活动计划的执行情况，总结活动的成功经验和不足之处，为下一次活动做好准备。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3.根据评估结果，及时调整和改进活动方案，为下一次活动提供参考和借鉴。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4、完成活动书面总结或简报，并及时上报给区卫健局。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  <w14:ligatures w14:val="none"/>
        </w:rPr>
        <w:t>七、活动预算：该活动费用从0-3婴幼儿照服工作项目经费宣传费中用列支。</w:t>
      </w:r>
    </w:p>
    <w:tbl>
      <w:tblPr>
        <w:tblStyle w:val="3"/>
        <w:tblpPr w:leftFromText="180" w:rightFromText="180" w:vertAnchor="text" w:horzAnchor="page" w:tblpX="1140" w:tblpY="636"/>
        <w:tblOverlap w:val="never"/>
        <w:tblW w:w="10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523"/>
        <w:gridCol w:w="1644"/>
        <w:gridCol w:w="839"/>
        <w:gridCol w:w="839"/>
        <w:gridCol w:w="1185"/>
        <w:gridCol w:w="1317"/>
        <w:gridCol w:w="1672"/>
        <w:gridCol w:w="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26" w:type="dxa"/>
            <w:gridSpan w:val="9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14:ligatures w14:val="standardContextual"/>
              </w:rPr>
              <w:t>“放心托育、放心可及”活动策划及预算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CA58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活动名称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“放心托育、放心可及”活动策划方案及预算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CA58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活动时间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7中旬（具体时间待定）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CA58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活动地点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四川省成都市温江区公平街道太极社区光华之心广场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CA58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预算金额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11000.00元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CA58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CA58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项目分类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CA58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CA58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CA58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CA58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 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CA58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 xml:space="preserve"> 总价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CA58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布置区域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拱门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 xml:space="preserve"> 800.00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 xml:space="preserve"> 800.00 </w:t>
            </w:r>
          </w:p>
        </w:tc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bdr w:val="single" w:color="000000" w:sz="4" w:space="0"/>
                <w:shd w:val="clear" w:fill="3CA588"/>
                <w:lang w:val="en-US" w:eastAsia="zh-CN" w:bidi="ar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48895</wp:posOffset>
                  </wp:positionV>
                  <wp:extent cx="893445" cy="685165"/>
                  <wp:effectExtent l="0" t="0" r="1905" b="635"/>
                  <wp:wrapNone/>
                  <wp:docPr id="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欢迎立柱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400.00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41910</wp:posOffset>
                  </wp:positionV>
                  <wp:extent cx="763905" cy="678180"/>
                  <wp:effectExtent l="0" t="0" r="17145" b="7620"/>
                  <wp:wrapNone/>
                  <wp:docPr id="4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主题背景板+气球链造型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1,880.00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1,880.00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80645</wp:posOffset>
                  </wp:positionV>
                  <wp:extent cx="855345" cy="690880"/>
                  <wp:effectExtent l="0" t="0" r="1905" b="13970"/>
                  <wp:wrapNone/>
                  <wp:docPr id="6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舞台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桌子1.2*50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100.00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（租赁）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椅子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1,500.00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（租赁）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红色拉绒地毯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1080.00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12米*9米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主背景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2,400.00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10米*5米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双15音响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1,200.00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音响+话筒2个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牌匾40*60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1440.00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物资类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矿泉水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11000.00 元</w:t>
            </w:r>
          </w:p>
        </w:tc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9875336"/>
    <w:rsid w:val="0A7E1D45"/>
    <w:rsid w:val="11473D3D"/>
    <w:rsid w:val="142E6361"/>
    <w:rsid w:val="1446617A"/>
    <w:rsid w:val="2DAB5B18"/>
    <w:rsid w:val="2DFF11BC"/>
    <w:rsid w:val="38AE211E"/>
    <w:rsid w:val="3A627E80"/>
    <w:rsid w:val="4A38723F"/>
    <w:rsid w:val="608D02A7"/>
    <w:rsid w:val="65F067C8"/>
    <w:rsid w:val="6D6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b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"/>
    <w:basedOn w:val="1"/>
    <w:next w:val="1"/>
    <w:autoRedefine/>
    <w:qFormat/>
    <w:uiPriority w:val="0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2024-06-21T00:52:00Z</dcterms:created>
  <dc:creator>Administrator</dc:creator>
  <cp:lastModifiedBy>唐福静（温江妇幼）</cp:lastModifiedBy>
  <dcterms:modified xsi:type="dcterms:W3CDTF">2024-07-06T08:00:45Z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2F1E238CBAD94020BF974E8553B7C4C1_12</vt:lpwstr>
  </property>
</Properties>
</file>