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2024年免费婚检、孕优宣传物料采购项目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2024-06-07T07:11:31Z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